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FC" w:rsidRPr="00606184" w:rsidRDefault="004F79FC" w:rsidP="004F79FC">
      <w:pPr>
        <w:ind w:left="284" w:right="260"/>
        <w:jc w:val="center"/>
        <w:rPr>
          <w:b/>
          <w:sz w:val="32"/>
          <w:szCs w:val="32"/>
        </w:rPr>
      </w:pPr>
      <w:r w:rsidRPr="00606184">
        <w:rPr>
          <w:b/>
          <w:sz w:val="32"/>
          <w:szCs w:val="32"/>
        </w:rPr>
        <w:t>Praznovanje evropskega dneva jezikov</w:t>
      </w:r>
    </w:p>
    <w:p w:rsidR="004F79FC" w:rsidRPr="00606184" w:rsidRDefault="004F79FC" w:rsidP="004F79FC">
      <w:pPr>
        <w:ind w:left="284" w:right="260"/>
      </w:pPr>
    </w:p>
    <w:p w:rsidR="004F79FC" w:rsidRPr="00606184" w:rsidRDefault="00111219" w:rsidP="004F79FC">
      <w:pPr>
        <w:ind w:left="284" w:right="260"/>
        <w:jc w:val="center"/>
      </w:pPr>
      <w:r>
        <w:rPr>
          <w:b/>
        </w:rPr>
        <w:t>Hiša EU</w:t>
      </w:r>
      <w:r w:rsidR="004F79FC" w:rsidRPr="007E7202">
        <w:t>,</w:t>
      </w:r>
      <w:r w:rsidR="004F79FC">
        <w:rPr>
          <w:b/>
        </w:rPr>
        <w:t xml:space="preserve"> </w:t>
      </w:r>
      <w:r w:rsidR="00462138">
        <w:rPr>
          <w:b/>
        </w:rPr>
        <w:t xml:space="preserve">Dunajska 20, </w:t>
      </w:r>
      <w:r w:rsidR="004F79FC" w:rsidRPr="0008664E">
        <w:rPr>
          <w:b/>
        </w:rPr>
        <w:t>Ljubljana</w:t>
      </w:r>
    </w:p>
    <w:p w:rsidR="004F79FC" w:rsidRDefault="004F79FC" w:rsidP="007A4AF0">
      <w:pPr>
        <w:ind w:left="284" w:right="260"/>
        <w:jc w:val="center"/>
        <w:rPr>
          <w:b/>
        </w:rPr>
      </w:pPr>
      <w:r w:rsidRPr="008524DC">
        <w:rPr>
          <w:b/>
        </w:rPr>
        <w:t xml:space="preserve">sreda, </w:t>
      </w:r>
      <w:r w:rsidRPr="004C0C2B">
        <w:rPr>
          <w:b/>
        </w:rPr>
        <w:t>2</w:t>
      </w:r>
      <w:r w:rsidR="00111219">
        <w:rPr>
          <w:b/>
        </w:rPr>
        <w:t>0</w:t>
      </w:r>
      <w:r w:rsidR="007A4AF0">
        <w:rPr>
          <w:b/>
        </w:rPr>
        <w:t>. september 202</w:t>
      </w:r>
      <w:r w:rsidR="00111219">
        <w:rPr>
          <w:b/>
        </w:rPr>
        <w:t>3</w:t>
      </w:r>
    </w:p>
    <w:p w:rsidR="00DA20BF" w:rsidRDefault="00DA20BF" w:rsidP="007A4AF0">
      <w:pPr>
        <w:ind w:left="284" w:right="260"/>
        <w:jc w:val="center"/>
        <w:rPr>
          <w:b/>
        </w:rPr>
      </w:pPr>
    </w:p>
    <w:p w:rsidR="007A4AF0" w:rsidRPr="00606184" w:rsidRDefault="007A4AF0" w:rsidP="007A4AF0">
      <w:pPr>
        <w:ind w:left="284" w:right="260"/>
        <w:jc w:val="center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5"/>
      </w:tblGrid>
      <w:tr w:rsidR="004F79FC" w:rsidRPr="00606184" w:rsidTr="004F79FC">
        <w:tc>
          <w:tcPr>
            <w:tcW w:w="1984" w:type="dxa"/>
            <w:shd w:val="clear" w:color="auto" w:fill="auto"/>
          </w:tcPr>
          <w:p w:rsidR="004F79FC" w:rsidRPr="000D3932" w:rsidRDefault="004F79FC" w:rsidP="00EC629F">
            <w:pPr>
              <w:ind w:left="284" w:right="260"/>
              <w:rPr>
                <w:i/>
              </w:rPr>
            </w:pPr>
            <w:r w:rsidRPr="000D3932">
              <w:rPr>
                <w:i/>
              </w:rPr>
              <w:t>Ura</w:t>
            </w:r>
          </w:p>
        </w:tc>
        <w:tc>
          <w:tcPr>
            <w:tcW w:w="7655" w:type="dxa"/>
            <w:shd w:val="clear" w:color="auto" w:fill="auto"/>
          </w:tcPr>
          <w:p w:rsidR="004F79FC" w:rsidRPr="000D3932" w:rsidRDefault="004F79FC" w:rsidP="00EC629F">
            <w:pPr>
              <w:ind w:left="284" w:right="260"/>
              <w:rPr>
                <w:i/>
              </w:rPr>
            </w:pPr>
            <w:r w:rsidRPr="000D3932">
              <w:rPr>
                <w:i/>
              </w:rPr>
              <w:t>Vsebina</w:t>
            </w:r>
          </w:p>
        </w:tc>
      </w:tr>
      <w:tr w:rsidR="004F79FC" w:rsidRPr="00606184" w:rsidTr="004F79FC">
        <w:trPr>
          <w:trHeight w:val="478"/>
        </w:trPr>
        <w:tc>
          <w:tcPr>
            <w:tcW w:w="1984" w:type="dxa"/>
            <w:shd w:val="clear" w:color="auto" w:fill="auto"/>
          </w:tcPr>
          <w:p w:rsidR="004F79FC" w:rsidRDefault="004F79FC" w:rsidP="00EC629F">
            <w:pPr>
              <w:ind w:left="284" w:right="260"/>
            </w:pPr>
          </w:p>
          <w:p w:rsidR="004F79FC" w:rsidRPr="00606184" w:rsidRDefault="000C705D" w:rsidP="000C705D">
            <w:pPr>
              <w:ind w:left="284" w:right="260"/>
            </w:pPr>
            <w:r>
              <w:t>9.00</w:t>
            </w:r>
            <w:r w:rsidR="004F79FC">
              <w:t>–9.30</w:t>
            </w:r>
          </w:p>
        </w:tc>
        <w:tc>
          <w:tcPr>
            <w:tcW w:w="7655" w:type="dxa"/>
            <w:shd w:val="clear" w:color="auto" w:fill="auto"/>
          </w:tcPr>
          <w:p w:rsidR="004F79FC" w:rsidRDefault="004F79FC" w:rsidP="00EC629F">
            <w:pPr>
              <w:ind w:left="284" w:right="260"/>
            </w:pPr>
          </w:p>
          <w:p w:rsidR="004F79FC" w:rsidRPr="00606184" w:rsidRDefault="004F79FC" w:rsidP="007E7202">
            <w:pPr>
              <w:spacing w:after="240"/>
              <w:ind w:left="284" w:right="260"/>
            </w:pPr>
            <w:r w:rsidRPr="00975F72">
              <w:t>Prihod in prijava udeležencev</w:t>
            </w:r>
          </w:p>
        </w:tc>
      </w:tr>
      <w:tr w:rsidR="001839AB" w:rsidRPr="00606184" w:rsidTr="001839AB">
        <w:trPr>
          <w:trHeight w:val="4453"/>
        </w:trPr>
        <w:tc>
          <w:tcPr>
            <w:tcW w:w="1984" w:type="dxa"/>
            <w:shd w:val="clear" w:color="auto" w:fill="auto"/>
          </w:tcPr>
          <w:p w:rsidR="001839AB" w:rsidRPr="00606184" w:rsidRDefault="001839AB" w:rsidP="00EC629F">
            <w:pPr>
              <w:spacing w:before="240"/>
              <w:ind w:left="284" w:right="260"/>
            </w:pPr>
            <w:r w:rsidRPr="00606184">
              <w:t>9.30</w:t>
            </w:r>
            <w:r>
              <w:t>–11</w:t>
            </w:r>
            <w:r w:rsidRPr="00606184">
              <w:t>.</w:t>
            </w:r>
            <w:r>
              <w:t>30</w:t>
            </w:r>
          </w:p>
          <w:p w:rsidR="001839AB" w:rsidRPr="00606184" w:rsidRDefault="001839AB" w:rsidP="001839AB">
            <w:pPr>
              <w:spacing w:before="240"/>
              <w:ind w:left="284" w:right="260"/>
            </w:pPr>
          </w:p>
        </w:tc>
        <w:tc>
          <w:tcPr>
            <w:tcW w:w="7655" w:type="dxa"/>
            <w:shd w:val="clear" w:color="auto" w:fill="auto"/>
          </w:tcPr>
          <w:p w:rsidR="001839AB" w:rsidRPr="00975F72" w:rsidRDefault="001839AB" w:rsidP="00EC629F">
            <w:pPr>
              <w:spacing w:before="240"/>
              <w:ind w:left="284" w:right="260"/>
            </w:pPr>
            <w:r w:rsidRPr="00975F72">
              <w:t xml:space="preserve">Nagovori: </w:t>
            </w:r>
          </w:p>
          <w:p w:rsidR="00CE0DDD" w:rsidRDefault="001839AB" w:rsidP="00EC629F">
            <w:pPr>
              <w:ind w:left="284" w:right="260"/>
            </w:pPr>
            <w:r w:rsidRPr="001839AB">
              <w:rPr>
                <w:b/>
              </w:rPr>
              <w:t>Jerneja Jug Jerše</w:t>
            </w:r>
            <w:r w:rsidRPr="000A146A">
              <w:t>, vodja Predstavništva Evropske komisije v Sloveniji</w:t>
            </w:r>
            <w:r>
              <w:t xml:space="preserve"> </w:t>
            </w:r>
          </w:p>
          <w:p w:rsidR="001839AB" w:rsidRPr="00975F72" w:rsidRDefault="000D5C08" w:rsidP="00BE6CFD">
            <w:pPr>
              <w:ind w:left="284" w:right="260"/>
              <w:rPr>
                <w:b/>
              </w:rPr>
            </w:pPr>
            <w:r>
              <w:rPr>
                <w:b/>
                <w:bCs/>
              </w:rPr>
              <w:t>Aleš Ojsteršek</w:t>
            </w:r>
            <w:r w:rsidRPr="007975D7">
              <w:t>,</w:t>
            </w:r>
            <w:r>
              <w:rPr>
                <w:b/>
                <w:bCs/>
              </w:rPr>
              <w:t xml:space="preserve"> </w:t>
            </w:r>
            <w:r>
              <w:t xml:space="preserve">vodja Sektorja za razvoj izobraževanja, </w:t>
            </w:r>
            <w:r w:rsidR="00CE0DDD">
              <w:t>Ministrstv</w:t>
            </w:r>
            <w:r>
              <w:t>o</w:t>
            </w:r>
            <w:r w:rsidR="001839AB" w:rsidRPr="00975F72">
              <w:t xml:space="preserve"> za</w:t>
            </w:r>
            <w:r w:rsidR="00D62493">
              <w:t xml:space="preserve"> vzgojo in izobraževanje</w:t>
            </w:r>
          </w:p>
          <w:p w:rsidR="001839AB" w:rsidRDefault="0068314B" w:rsidP="0008664E">
            <w:pPr>
              <w:ind w:right="260"/>
            </w:pPr>
            <w:r>
              <w:rPr>
                <w:b/>
              </w:rPr>
              <w:t xml:space="preserve">      Vinko Logaj</w:t>
            </w:r>
            <w:r w:rsidR="002D13DF">
              <w:t xml:space="preserve">, </w:t>
            </w:r>
            <w:r w:rsidR="007975D7">
              <w:t xml:space="preserve">direktor </w:t>
            </w:r>
            <w:r w:rsidR="00D62493">
              <w:t>Zavod</w:t>
            </w:r>
            <w:r w:rsidR="007975D7">
              <w:t>a</w:t>
            </w:r>
            <w:r w:rsidR="001839AB" w:rsidRPr="00975F72">
              <w:t xml:space="preserve"> RS za šolstvo</w:t>
            </w:r>
          </w:p>
          <w:p w:rsidR="001839AB" w:rsidRDefault="001839AB" w:rsidP="00E54D24">
            <w:pPr>
              <w:ind w:left="284" w:right="260"/>
              <w:rPr>
                <w:b/>
              </w:rPr>
            </w:pPr>
            <w:bookmarkStart w:id="0" w:name="_GoBack"/>
            <w:bookmarkEnd w:id="0"/>
          </w:p>
          <w:p w:rsidR="001839AB" w:rsidRPr="0008664E" w:rsidRDefault="0068314B" w:rsidP="00DF398B">
            <w:pPr>
              <w:ind w:left="284" w:right="260"/>
              <w:rPr>
                <w:b/>
                <w:bCs/>
              </w:rPr>
            </w:pPr>
            <w:r w:rsidRPr="0008664E">
              <w:rPr>
                <w:b/>
              </w:rPr>
              <w:t xml:space="preserve">Ugotovitve poročila Eurydice o poučevanju jezikov v </w:t>
            </w:r>
            <w:r w:rsidR="00DF398B">
              <w:rPr>
                <w:b/>
              </w:rPr>
              <w:t>šoli</w:t>
            </w:r>
          </w:p>
          <w:p w:rsidR="001839AB" w:rsidRDefault="0068314B" w:rsidP="00DF398B">
            <w:pPr>
              <w:ind w:left="284" w:right="260"/>
            </w:pPr>
            <w:r>
              <w:rPr>
                <w:b/>
                <w:bCs/>
              </w:rPr>
              <w:t>Saša Deleja Ambrožič</w:t>
            </w:r>
            <w:r w:rsidR="00BE6CFD">
              <w:t xml:space="preserve">, </w:t>
            </w:r>
            <w:r w:rsidR="00DF398B">
              <w:t>Ministrstvo</w:t>
            </w:r>
            <w:r w:rsidR="00DF398B" w:rsidRPr="00975F72">
              <w:t xml:space="preserve"> za</w:t>
            </w:r>
            <w:r w:rsidR="00DF398B">
              <w:t xml:space="preserve"> vzgojo in izobraževanje</w:t>
            </w:r>
          </w:p>
          <w:p w:rsidR="003A265D" w:rsidRDefault="003A265D" w:rsidP="003A265D">
            <w:pPr>
              <w:ind w:left="284" w:right="260"/>
            </w:pPr>
          </w:p>
          <w:p w:rsidR="003A265D" w:rsidRPr="00DF398B" w:rsidRDefault="00DF398B" w:rsidP="00DF398B">
            <w:pPr>
              <w:ind w:left="284" w:right="260"/>
              <w:rPr>
                <w:b/>
                <w:bCs/>
              </w:rPr>
            </w:pPr>
            <w:r w:rsidRPr="00DF398B">
              <w:rPr>
                <w:b/>
                <w:bCs/>
              </w:rPr>
              <w:t>Je tolmačenje zgolj ustno prevajanje?</w:t>
            </w:r>
            <w:r w:rsidR="003A265D" w:rsidRPr="00DF398B">
              <w:rPr>
                <w:b/>
                <w:bCs/>
              </w:rPr>
              <w:t xml:space="preserve"> </w:t>
            </w:r>
          </w:p>
          <w:p w:rsidR="003A265D" w:rsidRDefault="00DF398B" w:rsidP="00DF398B">
            <w:pPr>
              <w:ind w:left="284" w:right="260"/>
            </w:pPr>
            <w:r>
              <w:t xml:space="preserve">Predstavnik </w:t>
            </w:r>
            <w:r w:rsidR="003A265D">
              <w:t>Združenj</w:t>
            </w:r>
            <w:r>
              <w:t>a</w:t>
            </w:r>
            <w:r w:rsidR="003A265D">
              <w:t xml:space="preserve"> konferenčnih tolmačev</w:t>
            </w:r>
            <w:r>
              <w:t xml:space="preserve"> </w:t>
            </w:r>
          </w:p>
          <w:p w:rsidR="003A265D" w:rsidRDefault="003A265D" w:rsidP="003A265D">
            <w:pPr>
              <w:ind w:left="284" w:right="260"/>
            </w:pPr>
          </w:p>
          <w:p w:rsidR="003A265D" w:rsidRDefault="00BE6CFD" w:rsidP="003A265D">
            <w:pPr>
              <w:ind w:left="284" w:right="260"/>
            </w:pPr>
            <w:r w:rsidRPr="00BE6CFD">
              <w:rPr>
                <w:b/>
                <w:bCs/>
              </w:rPr>
              <w:t>Prevajalka ali prevajalnik? Človeška in umetna inteligenca na DGT</w:t>
            </w:r>
          </w:p>
          <w:p w:rsidR="003A265D" w:rsidRPr="00975F72" w:rsidRDefault="003A265D" w:rsidP="00DA20BF">
            <w:pPr>
              <w:ind w:left="284" w:right="260"/>
            </w:pPr>
            <w:r w:rsidRPr="003A265D">
              <w:rPr>
                <w:b/>
                <w:bCs/>
              </w:rPr>
              <w:t xml:space="preserve">Alenka </w:t>
            </w:r>
            <w:r w:rsidRPr="00DA20BF">
              <w:rPr>
                <w:b/>
                <w:bCs/>
              </w:rPr>
              <w:t>Unk</w:t>
            </w:r>
            <w:r w:rsidR="00BE6CFD" w:rsidRPr="00DA20BF">
              <w:t xml:space="preserve">, </w:t>
            </w:r>
            <w:r w:rsidR="00DA20BF" w:rsidRPr="00DA20BF">
              <w:rPr>
                <w:bCs/>
              </w:rPr>
              <w:t>Slovenski prevajalski</w:t>
            </w:r>
            <w:r w:rsidR="00DA20BF" w:rsidRPr="008F5928">
              <w:rPr>
                <w:bCs/>
              </w:rPr>
              <w:t xml:space="preserve"> oddelek Generalnega direktorata </w:t>
            </w:r>
            <w:r w:rsidR="00DA20BF">
              <w:rPr>
                <w:bCs/>
              </w:rPr>
              <w:t xml:space="preserve">za prevajanje </w:t>
            </w:r>
            <w:r w:rsidR="00DA20BF" w:rsidRPr="00BE6CFD">
              <w:t>(DGT)</w:t>
            </w:r>
            <w:r w:rsidR="00DA20BF">
              <w:t xml:space="preserve"> </w:t>
            </w:r>
            <w:r w:rsidR="00DA20BF">
              <w:rPr>
                <w:bCs/>
              </w:rPr>
              <w:t xml:space="preserve">pri </w:t>
            </w:r>
            <w:r w:rsidR="00DA20BF" w:rsidRPr="008F5928">
              <w:rPr>
                <w:bCs/>
              </w:rPr>
              <w:t>Evropski komisiji</w:t>
            </w:r>
            <w:r w:rsidR="00BE6CFD" w:rsidRPr="00BE6CFD">
              <w:t xml:space="preserve"> </w:t>
            </w:r>
          </w:p>
          <w:p w:rsidR="001839AB" w:rsidRDefault="001839AB" w:rsidP="00E54D24">
            <w:pPr>
              <w:ind w:left="284" w:right="260"/>
              <w:rPr>
                <w:b/>
              </w:rPr>
            </w:pPr>
          </w:p>
          <w:p w:rsidR="001839AB" w:rsidRDefault="001839AB" w:rsidP="00BE6CFD">
            <w:pPr>
              <w:ind w:left="284" w:right="260"/>
              <w:rPr>
                <w:b/>
              </w:rPr>
            </w:pPr>
            <w:r w:rsidRPr="004F79FC">
              <w:rPr>
                <w:b/>
              </w:rPr>
              <w:t>Pedagoški forum Zavoda RS za šolstvo</w:t>
            </w:r>
            <w:r>
              <w:rPr>
                <w:b/>
              </w:rPr>
              <w:t xml:space="preserve"> ob </w:t>
            </w:r>
            <w:r w:rsidR="002D5F66">
              <w:rPr>
                <w:b/>
              </w:rPr>
              <w:t>evropskem dnevu jezikov</w:t>
            </w:r>
          </w:p>
          <w:p w:rsidR="001839AB" w:rsidRPr="001839AB" w:rsidRDefault="001839AB" w:rsidP="003A265D">
            <w:pPr>
              <w:ind w:left="284" w:right="260"/>
            </w:pPr>
            <w:r w:rsidRPr="001839AB">
              <w:t>Predstavitev večjezikovnih dejavnosti</w:t>
            </w:r>
            <w:r w:rsidR="0068314B">
              <w:t xml:space="preserve"> (Maja Štekovič, Živilska šola Ljubljana)</w:t>
            </w:r>
            <w:r w:rsidRPr="001839AB">
              <w:t xml:space="preserve"> in podelitev priznanj za leto 202</w:t>
            </w:r>
            <w:r w:rsidR="003A265D">
              <w:t>2</w:t>
            </w:r>
            <w:r w:rsidR="007E7202">
              <w:t>.</w:t>
            </w:r>
          </w:p>
          <w:p w:rsidR="001839AB" w:rsidRDefault="001839AB" w:rsidP="00BE6CFD">
            <w:pPr>
              <w:ind w:left="284" w:right="260"/>
            </w:pPr>
            <w:r w:rsidRPr="00975F72">
              <w:rPr>
                <w:b/>
              </w:rPr>
              <w:t>Liljana Kač</w:t>
            </w:r>
            <w:r>
              <w:t xml:space="preserve">, </w:t>
            </w:r>
            <w:r w:rsidR="00BE6CFD" w:rsidRPr="00BE6CFD">
              <w:t>Zavod RS za šolstvo</w:t>
            </w:r>
          </w:p>
          <w:p w:rsidR="00DA20BF" w:rsidRPr="004F79FC" w:rsidRDefault="00DA20BF" w:rsidP="00BE6CFD">
            <w:pPr>
              <w:ind w:left="284" w:right="260"/>
            </w:pPr>
          </w:p>
        </w:tc>
      </w:tr>
      <w:tr w:rsidR="004F79FC" w:rsidRPr="00606184" w:rsidTr="004F79FC">
        <w:tc>
          <w:tcPr>
            <w:tcW w:w="1984" w:type="dxa"/>
            <w:shd w:val="clear" w:color="auto" w:fill="auto"/>
          </w:tcPr>
          <w:p w:rsidR="004B3350" w:rsidRDefault="004F79FC" w:rsidP="001839AB">
            <w:pPr>
              <w:spacing w:before="240"/>
              <w:ind w:left="284" w:right="260"/>
            </w:pPr>
            <w:r w:rsidRPr="00606184">
              <w:t>11.</w:t>
            </w:r>
            <w:r w:rsidR="00E15757">
              <w:t>3</w:t>
            </w:r>
            <w:r w:rsidR="004A1052" w:rsidRPr="00606184">
              <w:t>0</w:t>
            </w:r>
            <w:r w:rsidRPr="00606184">
              <w:t>–</w:t>
            </w:r>
            <w:r w:rsidR="0036698C">
              <w:t>1</w:t>
            </w:r>
            <w:r w:rsidR="004A1052">
              <w:t>2</w:t>
            </w:r>
            <w:r w:rsidRPr="00606184">
              <w:t>.</w:t>
            </w:r>
            <w:r w:rsidR="00E15757">
              <w:t>15</w:t>
            </w:r>
            <w:r w:rsidR="00417463" w:rsidRPr="00606184">
              <w:t xml:space="preserve"> </w:t>
            </w:r>
          </w:p>
          <w:p w:rsidR="004F79FC" w:rsidRPr="00606184" w:rsidRDefault="004F79FC" w:rsidP="00EC629F">
            <w:pPr>
              <w:ind w:left="284" w:right="260"/>
            </w:pPr>
          </w:p>
        </w:tc>
        <w:tc>
          <w:tcPr>
            <w:tcW w:w="7655" w:type="dxa"/>
            <w:shd w:val="clear" w:color="auto" w:fill="auto"/>
          </w:tcPr>
          <w:p w:rsidR="004F79FC" w:rsidRPr="00975F72" w:rsidRDefault="004F79FC" w:rsidP="007A4AF0">
            <w:pPr>
              <w:spacing w:before="240"/>
              <w:ind w:left="284" w:right="260"/>
            </w:pPr>
            <w:r w:rsidRPr="00975F72">
              <w:t>Odmor in sejemska predstavitev jezikovnih projektov in dejavnosti</w:t>
            </w:r>
          </w:p>
        </w:tc>
      </w:tr>
      <w:tr w:rsidR="001839AB" w:rsidRPr="00606184" w:rsidTr="001839AB">
        <w:trPr>
          <w:trHeight w:val="1763"/>
        </w:trPr>
        <w:tc>
          <w:tcPr>
            <w:tcW w:w="1984" w:type="dxa"/>
            <w:shd w:val="clear" w:color="auto" w:fill="auto"/>
          </w:tcPr>
          <w:p w:rsidR="001839AB" w:rsidRPr="00606184" w:rsidRDefault="001839AB" w:rsidP="001839AB">
            <w:pPr>
              <w:spacing w:before="240"/>
              <w:ind w:left="284" w:right="260"/>
            </w:pPr>
            <w:r w:rsidRPr="00606184">
              <w:t>1</w:t>
            </w:r>
            <w:r>
              <w:t>2</w:t>
            </w:r>
            <w:r w:rsidRPr="00606184">
              <w:t>.</w:t>
            </w:r>
            <w:r>
              <w:t>15</w:t>
            </w:r>
            <w:r w:rsidRPr="00606184">
              <w:t>–</w:t>
            </w:r>
            <w:r>
              <w:t>13</w:t>
            </w:r>
            <w:r w:rsidRPr="00606184">
              <w:t>.</w:t>
            </w:r>
            <w:r>
              <w:t>45</w:t>
            </w:r>
          </w:p>
        </w:tc>
        <w:tc>
          <w:tcPr>
            <w:tcW w:w="7655" w:type="dxa"/>
            <w:shd w:val="clear" w:color="auto" w:fill="auto"/>
          </w:tcPr>
          <w:p w:rsidR="00DA20BF" w:rsidRDefault="00DA20BF" w:rsidP="003A265D">
            <w:pPr>
              <w:ind w:left="284" w:right="260"/>
              <w:rPr>
                <w:b/>
                <w:bCs/>
              </w:rPr>
            </w:pPr>
          </w:p>
          <w:p w:rsidR="003A265D" w:rsidRPr="003A265D" w:rsidRDefault="003A265D" w:rsidP="003A265D">
            <w:pPr>
              <w:ind w:left="284" w:right="260"/>
              <w:rPr>
                <w:b/>
                <w:bCs/>
              </w:rPr>
            </w:pPr>
            <w:r w:rsidRPr="003A265D">
              <w:rPr>
                <w:b/>
                <w:bCs/>
              </w:rPr>
              <w:t xml:space="preserve">Predstavitev projekta Sing-a-Vision (Zavižaj vizijo) </w:t>
            </w:r>
          </w:p>
          <w:p w:rsidR="001839AB" w:rsidRDefault="008F5928" w:rsidP="00DA20BF">
            <w:pPr>
              <w:ind w:left="284" w:right="260"/>
            </w:pPr>
            <w:r w:rsidRPr="008F5928">
              <w:rPr>
                <w:b/>
                <w:bCs/>
              </w:rPr>
              <w:t>Matej Škorjak</w:t>
            </w:r>
            <w:r>
              <w:t xml:space="preserve">, </w:t>
            </w:r>
            <w:r w:rsidR="003F345C" w:rsidRPr="003F345C">
              <w:t xml:space="preserve">Slovenski prevajalski oddelek </w:t>
            </w:r>
            <w:r w:rsidR="00DA20BF">
              <w:t xml:space="preserve">DGT </w:t>
            </w:r>
            <w:r w:rsidR="003F345C" w:rsidRPr="003F345C">
              <w:t>pri Evropski komisiji</w:t>
            </w:r>
            <w:r w:rsidR="00BE6CFD" w:rsidRPr="00BE6CFD">
              <w:t xml:space="preserve"> </w:t>
            </w:r>
          </w:p>
          <w:p w:rsidR="008F5928" w:rsidRDefault="008F5928" w:rsidP="008F5928">
            <w:pPr>
              <w:ind w:left="284" w:right="260"/>
            </w:pPr>
            <w:r w:rsidRPr="008F5928">
              <w:rPr>
                <w:b/>
                <w:bCs/>
              </w:rPr>
              <w:t>Adriana Mezeg</w:t>
            </w:r>
            <w:r>
              <w:t xml:space="preserve">, </w:t>
            </w:r>
            <w:r w:rsidRPr="008F5928">
              <w:t>Oddelek za prevajalstvo Filozofske fakultete Univerze v Ljubljani</w:t>
            </w:r>
          </w:p>
          <w:p w:rsidR="008F5928" w:rsidRPr="00975F72" w:rsidRDefault="008F5928" w:rsidP="008F5928">
            <w:pPr>
              <w:ind w:left="284" w:right="260"/>
            </w:pPr>
            <w:r w:rsidRPr="008F5928">
              <w:rPr>
                <w:b/>
                <w:bCs/>
              </w:rPr>
              <w:t>Petra Hrovat Hristovski</w:t>
            </w:r>
            <w:r>
              <w:t xml:space="preserve">, </w:t>
            </w:r>
            <w:r w:rsidRPr="008F5928">
              <w:t>Gimnazija Poljane</w:t>
            </w:r>
          </w:p>
          <w:p w:rsidR="003A265D" w:rsidRDefault="003A265D" w:rsidP="00BB1445">
            <w:pPr>
              <w:ind w:left="284" w:right="260"/>
              <w:rPr>
                <w:b/>
              </w:rPr>
            </w:pPr>
          </w:p>
          <w:p w:rsidR="003A265D" w:rsidRDefault="008F5928" w:rsidP="008F5928">
            <w:pPr>
              <w:ind w:left="284" w:right="260"/>
              <w:rPr>
                <w:b/>
              </w:rPr>
            </w:pPr>
            <w:r>
              <w:rPr>
                <w:b/>
              </w:rPr>
              <w:t>D</w:t>
            </w:r>
            <w:r w:rsidR="001839AB" w:rsidRPr="00975F72">
              <w:rPr>
                <w:b/>
              </w:rPr>
              <w:t>elavnica</w:t>
            </w:r>
            <w:r w:rsidR="001839AB">
              <w:rPr>
                <w:b/>
              </w:rPr>
              <w:t xml:space="preserve">: </w:t>
            </w:r>
            <w:r w:rsidR="003A265D">
              <w:rPr>
                <w:b/>
              </w:rPr>
              <w:t>Latinščina v slovenščini</w:t>
            </w:r>
          </w:p>
          <w:p w:rsidR="003A265D" w:rsidRPr="003A265D" w:rsidRDefault="003A265D" w:rsidP="008F5928">
            <w:pPr>
              <w:ind w:left="284" w:right="260"/>
              <w:rPr>
                <w:bCs/>
              </w:rPr>
            </w:pPr>
            <w:r>
              <w:rPr>
                <w:b/>
              </w:rPr>
              <w:t>Julija Hoda</w:t>
            </w:r>
            <w:r w:rsidR="008F337E" w:rsidRPr="008F337E">
              <w:rPr>
                <w:bCs/>
              </w:rPr>
              <w:t>,</w:t>
            </w:r>
            <w:r w:rsidR="008F337E">
              <w:rPr>
                <w:b/>
              </w:rPr>
              <w:t xml:space="preserve"> </w:t>
            </w:r>
            <w:r w:rsidR="008F337E" w:rsidRPr="008F337E">
              <w:rPr>
                <w:bCs/>
              </w:rPr>
              <w:t>profesorica latinščine in grščine</w:t>
            </w:r>
          </w:p>
          <w:p w:rsidR="001839AB" w:rsidRPr="001839AB" w:rsidRDefault="001839AB" w:rsidP="007E7202">
            <w:pPr>
              <w:ind w:left="284" w:right="260"/>
              <w:rPr>
                <w:b/>
              </w:rPr>
            </w:pPr>
          </w:p>
        </w:tc>
      </w:tr>
      <w:tr w:rsidR="004F79FC" w:rsidRPr="00606184" w:rsidTr="004F79FC">
        <w:tc>
          <w:tcPr>
            <w:tcW w:w="1984" w:type="dxa"/>
            <w:shd w:val="clear" w:color="auto" w:fill="auto"/>
          </w:tcPr>
          <w:p w:rsidR="004F79FC" w:rsidRPr="00606184" w:rsidRDefault="004F79FC" w:rsidP="000C705D">
            <w:pPr>
              <w:spacing w:before="240"/>
              <w:ind w:left="284" w:right="260"/>
            </w:pPr>
            <w:r>
              <w:t>1</w:t>
            </w:r>
            <w:r w:rsidR="00DC63E7">
              <w:t>3</w:t>
            </w:r>
            <w:r>
              <w:t>.</w:t>
            </w:r>
            <w:r w:rsidR="00DC63E7">
              <w:t>45</w:t>
            </w:r>
            <w:r w:rsidRPr="00606184">
              <w:t>–</w:t>
            </w:r>
            <w:r w:rsidR="0036698C">
              <w:t>1</w:t>
            </w:r>
            <w:r w:rsidR="00E15757">
              <w:t>4</w:t>
            </w:r>
            <w:r w:rsidRPr="00606184">
              <w:t>.</w:t>
            </w:r>
            <w:r w:rsidR="00E15757">
              <w:t>3</w:t>
            </w:r>
            <w:r w:rsidRPr="00606184">
              <w:t>0</w:t>
            </w:r>
          </w:p>
        </w:tc>
        <w:tc>
          <w:tcPr>
            <w:tcW w:w="7655" w:type="dxa"/>
            <w:shd w:val="clear" w:color="auto" w:fill="auto"/>
          </w:tcPr>
          <w:p w:rsidR="001839AB" w:rsidRPr="00606184" w:rsidRDefault="004F79FC" w:rsidP="007E7202">
            <w:pPr>
              <w:spacing w:before="240" w:after="240"/>
              <w:ind w:left="284" w:right="260"/>
            </w:pPr>
            <w:r w:rsidRPr="00975F72">
              <w:t>Sprejem za udeležence</w:t>
            </w:r>
          </w:p>
        </w:tc>
      </w:tr>
    </w:tbl>
    <w:p w:rsidR="004F79FC" w:rsidRDefault="004F79FC" w:rsidP="004F79FC">
      <w:pPr>
        <w:ind w:left="284" w:right="260"/>
        <w:jc w:val="both"/>
      </w:pPr>
    </w:p>
    <w:p w:rsidR="0039670F" w:rsidRDefault="0039670F" w:rsidP="007A4AF0">
      <w:pPr>
        <w:ind w:right="260"/>
        <w:jc w:val="both"/>
      </w:pPr>
    </w:p>
    <w:p w:rsidR="006F29E5" w:rsidRPr="009B37AC" w:rsidRDefault="006F29E5" w:rsidP="007E7202">
      <w:pPr>
        <w:ind w:left="426" w:right="260"/>
        <w:jc w:val="both"/>
        <w:rPr>
          <w:color w:val="002060"/>
        </w:rPr>
      </w:pPr>
      <w:r w:rsidRPr="00FF6656">
        <w:t xml:space="preserve">Udeležba je </w:t>
      </w:r>
      <w:r>
        <w:t xml:space="preserve">brezplačna in </w:t>
      </w:r>
      <w:r w:rsidRPr="00FF6656">
        <w:t>možna samo s predhodno prijavo</w:t>
      </w:r>
      <w:r w:rsidR="00DD7EAE">
        <w:rPr>
          <w:b/>
        </w:rPr>
        <w:t xml:space="preserve"> do</w:t>
      </w:r>
      <w:r>
        <w:rPr>
          <w:b/>
        </w:rPr>
        <w:t xml:space="preserve"> 19</w:t>
      </w:r>
      <w:r w:rsidRPr="00181AA4">
        <w:rPr>
          <w:b/>
        </w:rPr>
        <w:t>. septembra</w:t>
      </w:r>
      <w:r w:rsidRPr="00FF6656">
        <w:t xml:space="preserve"> </w:t>
      </w:r>
      <w:r>
        <w:t xml:space="preserve">oziroma do </w:t>
      </w:r>
      <w:r w:rsidRPr="00FF6656">
        <w:t>zasedbe mest.</w:t>
      </w:r>
      <w:r w:rsidR="00DD7EAE">
        <w:t xml:space="preserve"> </w:t>
      </w:r>
      <w:r w:rsidR="00310DDE">
        <w:t xml:space="preserve">Prijavite se lahko </w:t>
      </w:r>
      <w:hyperlink r:id="rId7" w:history="1">
        <w:r w:rsidR="00310DDE" w:rsidRPr="0039214E">
          <w:rPr>
            <w:rStyle w:val="Hyperlink"/>
          </w:rPr>
          <w:t>tukaj</w:t>
        </w:r>
      </w:hyperlink>
      <w:r w:rsidR="00310DDE">
        <w:t>.</w:t>
      </w:r>
      <w:r>
        <w:t xml:space="preserve"> </w:t>
      </w:r>
    </w:p>
    <w:p w:rsidR="006F29E5" w:rsidRDefault="006F29E5" w:rsidP="007E7202">
      <w:pPr>
        <w:ind w:left="426" w:right="260"/>
        <w:jc w:val="both"/>
        <w:rPr>
          <w:b/>
          <w:color w:val="0070C0"/>
          <w:u w:val="single"/>
        </w:rPr>
      </w:pPr>
    </w:p>
    <w:p w:rsidR="002A7A51" w:rsidRDefault="002A7A51" w:rsidP="00DD0EDC">
      <w:pPr>
        <w:ind w:left="284"/>
        <w:jc w:val="both"/>
        <w:rPr>
          <w:b/>
          <w:u w:val="single"/>
        </w:rPr>
      </w:pPr>
    </w:p>
    <w:p w:rsidR="00DD0EDC" w:rsidRDefault="00DD0EDC" w:rsidP="00DD0EDC">
      <w:pPr>
        <w:ind w:left="284"/>
        <w:jc w:val="both"/>
        <w:rPr>
          <w:b/>
          <w:u w:val="single"/>
        </w:rPr>
      </w:pPr>
      <w:r>
        <w:rPr>
          <w:b/>
          <w:u w:val="single"/>
        </w:rPr>
        <w:t>Sporočilo Sveta Evrope ob praznovanju evropskega dneva jezikov</w:t>
      </w:r>
    </w:p>
    <w:p w:rsidR="00262743" w:rsidRDefault="009F46E8" w:rsidP="00DD0EDC">
      <w:pPr>
        <w:ind w:left="284"/>
        <w:jc w:val="both"/>
      </w:pPr>
      <w:r>
        <w:t>26. septembra</w:t>
      </w:r>
      <w:r w:rsidR="00262743">
        <w:t xml:space="preserve"> praznujemo na pobudo Sveta</w:t>
      </w:r>
      <w:r w:rsidR="00DD0EDC">
        <w:t xml:space="preserve"> Evrope </w:t>
      </w:r>
      <w:r w:rsidR="00262743">
        <w:t>evropski dan jezikov. Cilji so</w:t>
      </w:r>
      <w:r w:rsidR="00DD0EDC">
        <w:t xml:space="preserve"> </w:t>
      </w:r>
      <w:r w:rsidR="00262743">
        <w:t xml:space="preserve">ozaveščanje </w:t>
      </w:r>
      <w:r>
        <w:t xml:space="preserve">javnosti </w:t>
      </w:r>
      <w:r w:rsidR="00262743">
        <w:t>o bogati jezikovni raznolikosti Evrope, spodbujanje</w:t>
      </w:r>
      <w:r>
        <w:t xml:space="preserve"> učenja več</w:t>
      </w:r>
      <w:r w:rsidR="00262743">
        <w:t xml:space="preserve"> jezikov za razvoj raznojezičnosti </w:t>
      </w:r>
      <w:r>
        <w:t xml:space="preserve">posameznikov ter za </w:t>
      </w:r>
      <w:r w:rsidR="00262743">
        <w:t>aktivn</w:t>
      </w:r>
      <w:r>
        <w:t>o soudeležbo državljanov</w:t>
      </w:r>
      <w:r w:rsidR="00262743">
        <w:t xml:space="preserve"> v demokratični družbi.</w:t>
      </w:r>
      <w:r>
        <w:t xml:space="preserve"> Praznovanje koordinira Evropski center za moderne jezike Sveta Evrope, vsaka država pa ima svojega nacionalnega koordinatorja. Več o tem na </w:t>
      </w:r>
      <w:hyperlink r:id="rId8" w:history="1">
        <w:r w:rsidRPr="007751A7">
          <w:rPr>
            <w:rStyle w:val="Hyperlink"/>
          </w:rPr>
          <w:t>http://edl.ecml.at</w:t>
        </w:r>
      </w:hyperlink>
      <w:r>
        <w:t>.</w:t>
      </w:r>
    </w:p>
    <w:p w:rsidR="00DD0EDC" w:rsidRDefault="00DD0EDC" w:rsidP="00DD0EDC">
      <w:pPr>
        <w:ind w:left="284"/>
        <w:jc w:val="both"/>
      </w:pPr>
    </w:p>
    <w:p w:rsidR="0008664E" w:rsidRDefault="00DF398B" w:rsidP="00DF398B">
      <w:pPr>
        <w:ind w:left="284"/>
        <w:jc w:val="both"/>
        <w:rPr>
          <w:b/>
        </w:rPr>
      </w:pPr>
      <w:r>
        <w:rPr>
          <w:b/>
          <w:u w:val="single"/>
        </w:rPr>
        <w:t>P</w:t>
      </w:r>
      <w:r w:rsidR="0008664E" w:rsidRPr="0008664E">
        <w:rPr>
          <w:b/>
          <w:u w:val="single"/>
        </w:rPr>
        <w:t>oročil</w:t>
      </w:r>
      <w:r>
        <w:rPr>
          <w:b/>
          <w:u w:val="single"/>
        </w:rPr>
        <w:t>o</w:t>
      </w:r>
      <w:r w:rsidR="0008664E" w:rsidRPr="0008664E">
        <w:rPr>
          <w:b/>
          <w:u w:val="single"/>
        </w:rPr>
        <w:t xml:space="preserve"> Euryd</w:t>
      </w:r>
      <w:r>
        <w:rPr>
          <w:b/>
          <w:u w:val="single"/>
        </w:rPr>
        <w:t>ice o poučevanju jezikov v šoli</w:t>
      </w:r>
    </w:p>
    <w:p w:rsidR="0008664E" w:rsidRPr="002A7A51" w:rsidRDefault="002A7A51" w:rsidP="00AF3EFD">
      <w:pPr>
        <w:ind w:left="284"/>
        <w:jc w:val="both"/>
        <w:rPr>
          <w:bCs/>
        </w:rPr>
      </w:pPr>
      <w:r w:rsidRPr="002A7A51">
        <w:rPr>
          <w:bCs/>
        </w:rPr>
        <w:t xml:space="preserve">Kdaj se učenci v Evropi začnejo učiti prvi tuji jezik? Kdaj drugega? Koliko časa in koliko tujih jezikov se učijo? Kdo lahko uči tuje jezike v šoli? Kako se Slovenija z obstoječo ureditvijo poučevanja jezikov umešča v evropski prostor? Odgovori na ta in mnoga druga vprašanja o pouku tujih jezikov v šoli v Evropi so zbrani v poročilu </w:t>
      </w:r>
      <w:r w:rsidRPr="00AF3EFD">
        <w:rPr>
          <w:bCs/>
          <w:i/>
          <w:iCs/>
        </w:rPr>
        <w:t>Eurydice Key data on teaching languages at school in Europe 2023</w:t>
      </w:r>
      <w:r w:rsidRPr="002A7A51">
        <w:rPr>
          <w:bCs/>
        </w:rPr>
        <w:t xml:space="preserve">. To je že peta primerjalna analize stanja v 39 sistemih izobraževanja in 37 državah članicah omrežja Eurydice. </w:t>
      </w:r>
    </w:p>
    <w:p w:rsidR="0008664E" w:rsidRDefault="0008664E" w:rsidP="0008664E">
      <w:pPr>
        <w:ind w:left="284"/>
        <w:jc w:val="both"/>
      </w:pPr>
    </w:p>
    <w:p w:rsidR="0008664E" w:rsidRPr="0008664E" w:rsidRDefault="0008664E" w:rsidP="0008664E">
      <w:pPr>
        <w:ind w:left="284"/>
        <w:jc w:val="both"/>
        <w:rPr>
          <w:b/>
          <w:bCs/>
          <w:u w:val="single"/>
        </w:rPr>
      </w:pPr>
      <w:r w:rsidRPr="0008664E">
        <w:rPr>
          <w:b/>
          <w:bCs/>
          <w:u w:val="single"/>
        </w:rPr>
        <w:t>Je tolmačenje zgolj ustno prevajanje?</w:t>
      </w:r>
    </w:p>
    <w:p w:rsidR="0008664E" w:rsidRDefault="0008664E" w:rsidP="0008664E">
      <w:pPr>
        <w:ind w:left="284"/>
        <w:jc w:val="both"/>
      </w:pPr>
      <w:r w:rsidRPr="0008664E">
        <w:t>Konferenčno tolmačenje ni le ‘ustno prevajanje’, čeprav gre za prenos vsebine govora iz enega jezika v drugega. Kaj še zahteva ta poklic poleg poglobljenega znanja in obvladovanja najmanj dveh jezikov? Kdaj se naročniki odločajo, da bodo večjezično komunikacijo zaupali tolmačem in zakaj? Kako poteka sodelovanje s konferenčnimi tolmači in zakaj jih razvoj tehnologije ne skrbi? Na ta in še kakšno vprašanje bodo v interaktivni predstavitvi odgovorili člani Združenja konferenčnih tolmačev Slovenije, ki letos praznuje 50 let obstoja.</w:t>
      </w:r>
    </w:p>
    <w:p w:rsidR="0008664E" w:rsidRDefault="0008664E" w:rsidP="00457CED">
      <w:pPr>
        <w:ind w:left="284"/>
        <w:jc w:val="both"/>
      </w:pPr>
    </w:p>
    <w:p w:rsidR="00BE6CFD" w:rsidRPr="00BE6CFD" w:rsidRDefault="00BE6CFD" w:rsidP="00BE6CFD">
      <w:pPr>
        <w:ind w:left="284"/>
        <w:jc w:val="both"/>
        <w:rPr>
          <w:u w:val="single"/>
        </w:rPr>
      </w:pPr>
      <w:r w:rsidRPr="00BE6CFD">
        <w:rPr>
          <w:b/>
          <w:bCs/>
          <w:u w:val="single"/>
        </w:rPr>
        <w:t>Prevajalka ali prevajalnik? Človeška in umetna inteligenca na DGT</w:t>
      </w:r>
    </w:p>
    <w:p w:rsidR="0008664E" w:rsidRDefault="00DF398B" w:rsidP="00DA20BF">
      <w:pPr>
        <w:ind w:left="284"/>
        <w:jc w:val="both"/>
      </w:pPr>
      <w:r>
        <w:rPr>
          <w:rStyle w:val="ui-provider"/>
        </w:rPr>
        <w:t xml:space="preserve">Alenka Unk je prevajalka in koordinatorka jezikovnih tehnologij na </w:t>
      </w:r>
      <w:r w:rsidR="00DA20BF" w:rsidRPr="00DA20BF">
        <w:rPr>
          <w:rStyle w:val="ui-provider"/>
        </w:rPr>
        <w:t>Slovensk</w:t>
      </w:r>
      <w:r w:rsidR="00DA20BF">
        <w:rPr>
          <w:rStyle w:val="ui-provider"/>
        </w:rPr>
        <w:t xml:space="preserve">em </w:t>
      </w:r>
      <w:r w:rsidR="00DA20BF" w:rsidRPr="00DA20BF">
        <w:rPr>
          <w:rStyle w:val="ui-provider"/>
        </w:rPr>
        <w:t>prevajalsk</w:t>
      </w:r>
      <w:r w:rsidR="00DA20BF">
        <w:rPr>
          <w:rStyle w:val="ui-provider"/>
        </w:rPr>
        <w:t>em</w:t>
      </w:r>
      <w:r w:rsidR="00DA20BF" w:rsidRPr="00DA20BF">
        <w:rPr>
          <w:rStyle w:val="ui-provider"/>
        </w:rPr>
        <w:t xml:space="preserve"> oddel</w:t>
      </w:r>
      <w:r w:rsidR="00DA20BF">
        <w:rPr>
          <w:rStyle w:val="ui-provider"/>
        </w:rPr>
        <w:t>ku</w:t>
      </w:r>
      <w:r w:rsidR="00DA20BF" w:rsidRPr="00DA20BF">
        <w:rPr>
          <w:rStyle w:val="ui-provider"/>
        </w:rPr>
        <w:t xml:space="preserve"> Generalnega direktorata za prevajanje </w:t>
      </w:r>
      <w:r w:rsidR="00DA20BF">
        <w:rPr>
          <w:rStyle w:val="ui-provider"/>
        </w:rPr>
        <w:t xml:space="preserve">(DGT) </w:t>
      </w:r>
      <w:r w:rsidR="00DA20BF" w:rsidRPr="00DA20BF">
        <w:rPr>
          <w:rStyle w:val="ui-provider"/>
        </w:rPr>
        <w:t>pri Evropski komisiji</w:t>
      </w:r>
      <w:r>
        <w:rPr>
          <w:rStyle w:val="ui-provider"/>
        </w:rPr>
        <w:t>. Opisala bo, kako so nove tehnologije skozi leta vplivale na prevajalski proces in kako bi ga lahko dodatno preoblikovale v prihodnje. Algoritmi umetne inteligence so prevajalkam in prevajalcem v pomoč. Pa jih lahko tudi nadomestijo? </w:t>
      </w:r>
    </w:p>
    <w:p w:rsidR="00DF398B" w:rsidRDefault="00DF398B" w:rsidP="00457CED">
      <w:pPr>
        <w:ind w:left="284"/>
        <w:jc w:val="both"/>
      </w:pPr>
    </w:p>
    <w:p w:rsidR="00DD0EDC" w:rsidRPr="00291093" w:rsidRDefault="00DD0EDC" w:rsidP="00DD0EDC">
      <w:pPr>
        <w:ind w:left="284" w:right="260"/>
        <w:jc w:val="both"/>
        <w:rPr>
          <w:b/>
          <w:u w:val="single"/>
        </w:rPr>
      </w:pPr>
      <w:r w:rsidRPr="00291093">
        <w:rPr>
          <w:b/>
          <w:u w:val="single"/>
        </w:rPr>
        <w:t xml:space="preserve">Pedagoški forum </w:t>
      </w:r>
      <w:r w:rsidR="00291093" w:rsidRPr="00291093">
        <w:rPr>
          <w:b/>
          <w:u w:val="single"/>
        </w:rPr>
        <w:t>Zavoda RS za šolstvo</w:t>
      </w:r>
    </w:p>
    <w:p w:rsidR="008F5928" w:rsidRDefault="00DD0EDC" w:rsidP="00AF3EFD">
      <w:pPr>
        <w:ind w:left="284"/>
        <w:jc w:val="both"/>
        <w:rPr>
          <w:i/>
        </w:rPr>
      </w:pPr>
      <w:r w:rsidRPr="00606184">
        <w:t xml:space="preserve">Zavod RS za šolstvo vsako leto podeli priznanja </w:t>
      </w:r>
      <w:r w:rsidR="003B0711">
        <w:t xml:space="preserve">za </w:t>
      </w:r>
      <w:r>
        <w:t>deset</w:t>
      </w:r>
      <w:r w:rsidR="003B0711">
        <w:t xml:space="preserve"> najboljših</w:t>
      </w:r>
      <w:r w:rsidRPr="00606184">
        <w:t xml:space="preserve"> </w:t>
      </w:r>
      <w:r w:rsidR="003B0711">
        <w:t>prispevkov</w:t>
      </w:r>
      <w:r>
        <w:t>, ki jih</w:t>
      </w:r>
      <w:r w:rsidR="00A4691C">
        <w:t xml:space="preserve"> </w:t>
      </w:r>
      <w:r w:rsidR="003B0711" w:rsidRPr="00606184">
        <w:t>vzgojitelj</w:t>
      </w:r>
      <w:r w:rsidR="003B0711">
        <w:t>i</w:t>
      </w:r>
      <w:r w:rsidR="003B0711" w:rsidRPr="00606184">
        <w:t xml:space="preserve"> in učitelj</w:t>
      </w:r>
      <w:r w:rsidR="003B0711">
        <w:t>i</w:t>
      </w:r>
      <w:r w:rsidR="003B0711" w:rsidRPr="00606184">
        <w:t xml:space="preserve"> </w:t>
      </w:r>
      <w:r w:rsidR="00A4691C">
        <w:t xml:space="preserve">ob </w:t>
      </w:r>
      <w:r w:rsidRPr="00606184">
        <w:t>evropske</w:t>
      </w:r>
      <w:r w:rsidR="00A4691C">
        <w:t>m</w:t>
      </w:r>
      <w:r w:rsidRPr="00606184">
        <w:t xml:space="preserve"> dnev</w:t>
      </w:r>
      <w:r w:rsidR="00A4691C">
        <w:t>u</w:t>
      </w:r>
      <w:r w:rsidRPr="00606184">
        <w:t xml:space="preserve"> jezikov </w:t>
      </w:r>
      <w:r>
        <w:t xml:space="preserve">objavijo </w:t>
      </w:r>
      <w:r w:rsidRPr="00606184">
        <w:t xml:space="preserve">v </w:t>
      </w:r>
      <w:hyperlink r:id="rId9" w:history="1">
        <w:r w:rsidRPr="00291093">
          <w:rPr>
            <w:rStyle w:val="Hyperlink"/>
          </w:rPr>
          <w:t>spletnem pedagoškem forumu</w:t>
        </w:r>
      </w:hyperlink>
      <w:r>
        <w:t xml:space="preserve">. </w:t>
      </w:r>
      <w:r w:rsidR="00A4691C">
        <w:t xml:space="preserve">Priznanja </w:t>
      </w:r>
      <w:r w:rsidR="003B0711">
        <w:t xml:space="preserve">za leto 2022 </w:t>
      </w:r>
      <w:r w:rsidR="00A4691C">
        <w:t xml:space="preserve">prejmejo </w:t>
      </w:r>
      <w:r w:rsidR="003B0711" w:rsidRPr="003B0711">
        <w:rPr>
          <w:b/>
        </w:rPr>
        <w:t xml:space="preserve">OŠ Velika Dolina </w:t>
      </w:r>
      <w:r w:rsidR="003B0711" w:rsidRPr="003B0711">
        <w:t>(</w:t>
      </w:r>
      <w:r w:rsidR="003B0711" w:rsidRPr="003B0711">
        <w:rPr>
          <w:i/>
        </w:rPr>
        <w:t>Spoznajmo svoje sosede),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VIZ II. OŠ Rogaška Slatina </w:t>
      </w:r>
      <w:r w:rsidR="003B0711" w:rsidRPr="003B0711">
        <w:t>(</w:t>
      </w:r>
      <w:r w:rsidR="003B0711" w:rsidRPr="003B0711">
        <w:rPr>
          <w:i/>
        </w:rPr>
        <w:t>Ne bodi kot Ostržek!),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OŠ Ivana Cankarja Vrhnika </w:t>
      </w:r>
      <w:r w:rsidR="003B0711" w:rsidRPr="003B0711">
        <w:t>(</w:t>
      </w:r>
      <w:r w:rsidR="003B0711" w:rsidRPr="003B0711">
        <w:rPr>
          <w:i/>
        </w:rPr>
        <w:t>Jeziki in mladi),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OŠ Divača </w:t>
      </w:r>
      <w:r w:rsidR="003B0711" w:rsidRPr="003B0711">
        <w:t>(</w:t>
      </w:r>
      <w:r w:rsidR="003B0711" w:rsidRPr="003B0711">
        <w:rPr>
          <w:i/>
        </w:rPr>
        <w:t>Pregovori in pisave ob evropskem dnevu jezikov),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OŠ Polzela </w:t>
      </w:r>
      <w:r w:rsidR="003B0711" w:rsidRPr="003B0711">
        <w:t xml:space="preserve">in </w:t>
      </w:r>
      <w:r w:rsidR="003B0711" w:rsidRPr="003B0711">
        <w:rPr>
          <w:b/>
        </w:rPr>
        <w:t xml:space="preserve">Podružnična OŠ Andraž </w:t>
      </w:r>
      <w:r w:rsidR="003B0711" w:rsidRPr="003B0711">
        <w:t>(</w:t>
      </w:r>
      <w:r w:rsidR="003B0711" w:rsidRPr="003B0711">
        <w:rPr>
          <w:i/>
        </w:rPr>
        <w:t>Spoštujemo vse jezike – žoga nas povezuje),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OŠ Kidričevo </w:t>
      </w:r>
      <w:r w:rsidR="003B0711" w:rsidRPr="003B0711">
        <w:t>(</w:t>
      </w:r>
      <w:r w:rsidR="003B0711" w:rsidRPr="003B0711">
        <w:rPr>
          <w:i/>
        </w:rPr>
        <w:t>Teden za nov jezik – delavnica za pokušino jezika učencev iz Ukrajine),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Prometna šola Maribor </w:t>
      </w:r>
      <w:r w:rsidR="003B0711" w:rsidRPr="003B0711">
        <w:t>(</w:t>
      </w:r>
      <w:r w:rsidR="003B0711" w:rsidRPr="003B0711">
        <w:rPr>
          <w:i/>
        </w:rPr>
        <w:t>Šport in jeziki),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Prva gimnazija Maribor </w:t>
      </w:r>
      <w:r w:rsidR="003B0711" w:rsidRPr="003B0711">
        <w:t>(</w:t>
      </w:r>
      <w:r w:rsidR="003B0711" w:rsidRPr="003B0711">
        <w:rPr>
          <w:i/>
        </w:rPr>
        <w:t>Umetnost spodbuja našo kreativnost),</w:t>
      </w:r>
      <w:r w:rsidR="003B0711" w:rsidRPr="003B0711">
        <w:rPr>
          <w:b/>
          <w:i/>
        </w:rPr>
        <w:t xml:space="preserve"> </w:t>
      </w:r>
      <w:r w:rsidR="003B0711" w:rsidRPr="003B0711">
        <w:rPr>
          <w:b/>
        </w:rPr>
        <w:t xml:space="preserve">Srednja šola za gostinstvo in turizem Celje </w:t>
      </w:r>
      <w:r w:rsidR="003B0711" w:rsidRPr="003B0711">
        <w:t>(</w:t>
      </w:r>
      <w:r w:rsidR="003B0711" w:rsidRPr="003B0711">
        <w:rPr>
          <w:i/>
        </w:rPr>
        <w:t>Spoznajmo se)</w:t>
      </w:r>
      <w:r w:rsidR="003B0711" w:rsidRPr="003B0711">
        <w:rPr>
          <w:b/>
          <w:i/>
        </w:rPr>
        <w:t xml:space="preserve"> </w:t>
      </w:r>
      <w:r w:rsidR="00AF3EFD" w:rsidRPr="00AF3EFD">
        <w:rPr>
          <w:bCs/>
          <w:iCs/>
        </w:rPr>
        <w:t>in</w:t>
      </w:r>
      <w:r w:rsidR="003B0711" w:rsidRPr="00AF3EFD">
        <w:rPr>
          <w:b/>
          <w:iCs/>
        </w:rPr>
        <w:t xml:space="preserve"> </w:t>
      </w:r>
      <w:r w:rsidR="003B0711" w:rsidRPr="003B0711">
        <w:rPr>
          <w:b/>
        </w:rPr>
        <w:t xml:space="preserve">Živilska šola Ljubljana </w:t>
      </w:r>
      <w:r w:rsidR="003B0711" w:rsidRPr="003B0711">
        <w:t>(</w:t>
      </w:r>
      <w:r w:rsidR="003B0711" w:rsidRPr="003B0711">
        <w:rPr>
          <w:i/>
        </w:rPr>
        <w:t>Bazar jezikov na Živilski šoli)</w:t>
      </w:r>
      <w:r w:rsidR="003B0711" w:rsidRPr="00AF3EFD">
        <w:rPr>
          <w:iCs/>
        </w:rPr>
        <w:t>.</w:t>
      </w:r>
    </w:p>
    <w:p w:rsidR="002A7A51" w:rsidRPr="00DA20BF" w:rsidRDefault="002A7A51" w:rsidP="002A7A51">
      <w:pPr>
        <w:ind w:left="284"/>
        <w:jc w:val="both"/>
        <w:rPr>
          <w:iCs/>
        </w:rPr>
      </w:pPr>
    </w:p>
    <w:p w:rsidR="002A7A51" w:rsidRPr="002A7A51" w:rsidRDefault="002A7A51" w:rsidP="002A7A51">
      <w:pPr>
        <w:ind w:left="284"/>
        <w:jc w:val="both"/>
        <w:rPr>
          <w:b/>
          <w:u w:val="single"/>
        </w:rPr>
      </w:pPr>
      <w:r w:rsidRPr="002A7A51">
        <w:rPr>
          <w:b/>
          <w:u w:val="single"/>
        </w:rPr>
        <w:t>Sing-a-Vision (Zavižaj vizijo)</w:t>
      </w:r>
    </w:p>
    <w:p w:rsidR="008F5928" w:rsidRPr="008F5928" w:rsidRDefault="008F5928" w:rsidP="003F345C">
      <w:pPr>
        <w:ind w:left="284" w:right="260"/>
        <w:jc w:val="both"/>
        <w:rPr>
          <w:bCs/>
        </w:rPr>
      </w:pPr>
      <w:r>
        <w:rPr>
          <w:bCs/>
        </w:rPr>
        <w:t>P</w:t>
      </w:r>
      <w:r w:rsidRPr="008F5928">
        <w:rPr>
          <w:bCs/>
        </w:rPr>
        <w:t>rojekt Sing-a-Vision (Zavižaj vizijo)</w:t>
      </w:r>
      <w:r>
        <w:rPr>
          <w:bCs/>
        </w:rPr>
        <w:t xml:space="preserve"> </w:t>
      </w:r>
      <w:r w:rsidRPr="008F5928">
        <w:rPr>
          <w:bCs/>
        </w:rPr>
        <w:t xml:space="preserve">za srednješolce pilotno na nacionalni ravni </w:t>
      </w:r>
      <w:r w:rsidRPr="00DA20BF">
        <w:rPr>
          <w:bCs/>
        </w:rPr>
        <w:t xml:space="preserve">organizirajo Slovenski prevajalski oddelek Generalnega direktorata </w:t>
      </w:r>
      <w:r w:rsidR="003F345C" w:rsidRPr="00DA20BF">
        <w:rPr>
          <w:bCs/>
        </w:rPr>
        <w:t xml:space="preserve">za prevajanje pri </w:t>
      </w:r>
      <w:r w:rsidR="009A45F2" w:rsidRPr="00DA20BF">
        <w:rPr>
          <w:bCs/>
        </w:rPr>
        <w:t>Evropski komisiji</w:t>
      </w:r>
      <w:r w:rsidRPr="00DA20BF">
        <w:rPr>
          <w:bCs/>
        </w:rPr>
        <w:t>, O</w:t>
      </w:r>
      <w:r w:rsidRPr="008F5928">
        <w:rPr>
          <w:bCs/>
        </w:rPr>
        <w:t>ddelek za prevajalstvo Filozofske fakultete Univerze v Ljubljani in Gimnazija Poljane. </w:t>
      </w:r>
      <w:r w:rsidR="002A7A51">
        <w:rPr>
          <w:bCs/>
        </w:rPr>
        <w:t>Projekt je</w:t>
      </w:r>
      <w:r w:rsidRPr="008F5928">
        <w:rPr>
          <w:bCs/>
        </w:rPr>
        <w:t xml:space="preserve"> odlična priložnost za razvijanje jezikovnih, prevajalskih, glasbenih ter drugih ustvarjalnih znanj in spretnosti</w:t>
      </w:r>
      <w:r w:rsidR="002A7A51">
        <w:rPr>
          <w:bCs/>
        </w:rPr>
        <w:t xml:space="preserve">, pri tem pa v </w:t>
      </w:r>
      <w:r w:rsidRPr="008F5928">
        <w:rPr>
          <w:bCs/>
        </w:rPr>
        <w:t>celoti temelji na skupinskem delu dijakinj in dijakov. </w:t>
      </w:r>
    </w:p>
    <w:p w:rsidR="00291093" w:rsidRPr="00DA20BF" w:rsidRDefault="00291093" w:rsidP="00291093">
      <w:pPr>
        <w:ind w:left="284" w:right="260"/>
        <w:jc w:val="both"/>
        <w:rPr>
          <w:b/>
          <w:u w:val="single"/>
        </w:rPr>
      </w:pPr>
    </w:p>
    <w:p w:rsidR="000C705D" w:rsidRDefault="000C705D" w:rsidP="003A265D">
      <w:pPr>
        <w:ind w:left="284" w:right="260"/>
        <w:jc w:val="both"/>
        <w:rPr>
          <w:b/>
          <w:u w:val="single"/>
        </w:rPr>
      </w:pPr>
      <w:r w:rsidRPr="000A146A">
        <w:rPr>
          <w:b/>
          <w:u w:val="single"/>
        </w:rPr>
        <w:t xml:space="preserve">Delavnica: </w:t>
      </w:r>
      <w:r w:rsidR="003A265D">
        <w:rPr>
          <w:b/>
          <w:u w:val="single"/>
        </w:rPr>
        <w:t>Latinščina v slovenščini</w:t>
      </w:r>
    </w:p>
    <w:p w:rsidR="007634F3" w:rsidRPr="00135B60" w:rsidRDefault="008F5928" w:rsidP="002A7A51">
      <w:pPr>
        <w:ind w:left="284" w:right="260"/>
        <w:jc w:val="both"/>
      </w:pPr>
      <w:r w:rsidRPr="008F5928">
        <w:rPr>
          <w:bCs/>
        </w:rPr>
        <w:t>Accio! Latinščina je vseprisotna v čarovniškem svetu – a le če veste, kje iskati … Na delavnici bomo združili moči z diplomirano Rimljanko Julijo Hoda in skupaj poiskali antične izvore imen, čarobnih urokov in fantastičnih živali, ki jih najdemo v knjigah o Harryju Potterju. </w:t>
      </w:r>
    </w:p>
    <w:sectPr w:rsidR="007634F3" w:rsidRPr="00135B60" w:rsidSect="007E7202">
      <w:headerReference w:type="default" r:id="rId10"/>
      <w:pgSz w:w="11906" w:h="16838"/>
      <w:pgMar w:top="720" w:right="991" w:bottom="72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78" w:rsidRDefault="00485878" w:rsidP="001E2260">
      <w:r>
        <w:separator/>
      </w:r>
    </w:p>
  </w:endnote>
  <w:endnote w:type="continuationSeparator" w:id="0">
    <w:p w:rsidR="00485878" w:rsidRDefault="00485878" w:rsidP="001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78" w:rsidRDefault="00485878" w:rsidP="001E2260">
      <w:r>
        <w:separator/>
      </w:r>
    </w:p>
  </w:footnote>
  <w:footnote w:type="continuationSeparator" w:id="0">
    <w:p w:rsidR="00485878" w:rsidRDefault="00485878" w:rsidP="001E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50" w:rsidRDefault="007975D7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1685"/>
      <w:gridCol w:w="2526"/>
      <w:gridCol w:w="3807"/>
    </w:tblGrid>
    <w:tr w:rsidR="00F85001" w:rsidTr="00BC2566">
      <w:trPr>
        <w:trHeight w:val="858"/>
        <w:jc w:val="center"/>
      </w:trPr>
      <w:tc>
        <w:tcPr>
          <w:tcW w:w="2001" w:type="dxa"/>
        </w:tcPr>
        <w:p w:rsidR="007A4AF0" w:rsidRPr="00BC2566" w:rsidRDefault="007A4AF0" w:rsidP="00BC2566">
          <w:pPr>
            <w:jc w:val="center"/>
            <w:rPr>
              <w:noProof/>
              <w:lang w:val="en-GB" w:eastAsia="en-GB"/>
            </w:rPr>
          </w:pPr>
        </w:p>
      </w:tc>
      <w:tc>
        <w:tcPr>
          <w:tcW w:w="1685" w:type="dxa"/>
        </w:tcPr>
        <w:p w:rsidR="007A4AF0" w:rsidRDefault="00262743" w:rsidP="00173050">
          <w:pPr>
            <w:jc w:val="center"/>
            <w:rPr>
              <w:rFonts w:ascii="Verdana" w:hAnsi="Verdana"/>
              <w:noProof/>
              <w:lang w:eastAsia="sl-SI"/>
            </w:rPr>
          </w:pPr>
          <w:r>
            <w:rPr>
              <w:noProof/>
              <w:lang w:val="en-US"/>
            </w:rPr>
            <w:drawing>
              <wp:inline distT="0" distB="0" distL="0" distR="0" wp14:anchorId="715622CA" wp14:editId="10818942">
                <wp:extent cx="799812" cy="556260"/>
                <wp:effectExtent l="0" t="0" r="635" b="0"/>
                <wp:docPr id="29" name="Picture 5" descr="C:\Users\jaksape\AppData\Local\Microsoft\Windows\Temporary Internet Files\Content.Outlook\ACY2N6DY\logo_ce-sl-rvb-l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aksape\AppData\Local\Microsoft\Windows\Temporary Internet Files\Content.Outlook\ACY2N6DY\logo_ce-sl-rvb-l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857" cy="566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</w:tcPr>
        <w:p w:rsidR="007A4AF0" w:rsidRDefault="00F85001" w:rsidP="00173050">
          <w:pPr>
            <w:jc w:val="center"/>
          </w:pPr>
          <w:r>
            <w:rPr>
              <w:noProof/>
              <w:color w:val="1F497D"/>
              <w:sz w:val="20"/>
              <w:szCs w:val="20"/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82550</wp:posOffset>
                </wp:positionV>
                <wp:extent cx="1457325" cy="297180"/>
                <wp:effectExtent l="0" t="0" r="9525" b="7620"/>
                <wp:wrapTight wrapText="bothSides">
                  <wp:wrapPolygon edited="0">
                    <wp:start x="0" y="0"/>
                    <wp:lineTo x="0" y="20769"/>
                    <wp:lineTo x="21459" y="20769"/>
                    <wp:lineTo x="21459" y="0"/>
                    <wp:lineTo x="0" y="0"/>
                  </wp:wrapPolygon>
                </wp:wrapTight>
                <wp:docPr id="2" name="Slika 2" descr="zrs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zrs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7" w:type="dxa"/>
        </w:tcPr>
        <w:p w:rsidR="007A4AF0" w:rsidRDefault="007A4AF0" w:rsidP="00173050">
          <w:pPr>
            <w:jc w:val="center"/>
            <w:rPr>
              <w:noProof/>
              <w:lang w:val="en-GB" w:eastAsia="en-GB"/>
            </w:rPr>
          </w:pPr>
        </w:p>
        <w:p w:rsidR="007A4AF0" w:rsidRDefault="00262743" w:rsidP="00173050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83048" cy="207303"/>
                <wp:effectExtent l="0" t="0" r="0" b="2540"/>
                <wp:docPr id="1" name="Slika 1" descr="cid:image003.png@01D9B586.CF088E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id:image003.png@01D9B586.CF088E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738" cy="228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2CDC" w:rsidRDefault="007975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582"/>
    <w:multiLevelType w:val="hybridMultilevel"/>
    <w:tmpl w:val="9BC0B736"/>
    <w:lvl w:ilvl="0" w:tplc="4AA4E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94F"/>
    <w:multiLevelType w:val="hybridMultilevel"/>
    <w:tmpl w:val="7AD4AF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0397"/>
    <w:multiLevelType w:val="multilevel"/>
    <w:tmpl w:val="E5C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F79FC"/>
    <w:rsid w:val="00000228"/>
    <w:rsid w:val="00064F6E"/>
    <w:rsid w:val="00071183"/>
    <w:rsid w:val="0008664E"/>
    <w:rsid w:val="000A146A"/>
    <w:rsid w:val="000C705D"/>
    <w:rsid w:val="000D54EB"/>
    <w:rsid w:val="000D5C08"/>
    <w:rsid w:val="00111219"/>
    <w:rsid w:val="00145588"/>
    <w:rsid w:val="00181AA4"/>
    <w:rsid w:val="00182F78"/>
    <w:rsid w:val="001839AB"/>
    <w:rsid w:val="00191FF6"/>
    <w:rsid w:val="001A3017"/>
    <w:rsid w:val="001E2260"/>
    <w:rsid w:val="00214BEE"/>
    <w:rsid w:val="002608E5"/>
    <w:rsid w:val="00262743"/>
    <w:rsid w:val="00291093"/>
    <w:rsid w:val="002A7A51"/>
    <w:rsid w:val="002D13DF"/>
    <w:rsid w:val="002D5F66"/>
    <w:rsid w:val="002E7457"/>
    <w:rsid w:val="00301DEA"/>
    <w:rsid w:val="00310DDE"/>
    <w:rsid w:val="003163BE"/>
    <w:rsid w:val="00336428"/>
    <w:rsid w:val="003576D8"/>
    <w:rsid w:val="0036698C"/>
    <w:rsid w:val="0039214E"/>
    <w:rsid w:val="0039670F"/>
    <w:rsid w:val="00396B8F"/>
    <w:rsid w:val="003A265D"/>
    <w:rsid w:val="003A4F03"/>
    <w:rsid w:val="003A72B4"/>
    <w:rsid w:val="003B0711"/>
    <w:rsid w:val="003D1328"/>
    <w:rsid w:val="003E02C8"/>
    <w:rsid w:val="003F0C10"/>
    <w:rsid w:val="003F345C"/>
    <w:rsid w:val="00417463"/>
    <w:rsid w:val="00427A14"/>
    <w:rsid w:val="0044262F"/>
    <w:rsid w:val="00457CED"/>
    <w:rsid w:val="00462138"/>
    <w:rsid w:val="004644AD"/>
    <w:rsid w:val="00484C5D"/>
    <w:rsid w:val="00485878"/>
    <w:rsid w:val="004A1052"/>
    <w:rsid w:val="004A584F"/>
    <w:rsid w:val="004B3350"/>
    <w:rsid w:val="004F79FC"/>
    <w:rsid w:val="00524300"/>
    <w:rsid w:val="00564922"/>
    <w:rsid w:val="00592C99"/>
    <w:rsid w:val="005F72F3"/>
    <w:rsid w:val="006200BC"/>
    <w:rsid w:val="00636557"/>
    <w:rsid w:val="00656F8E"/>
    <w:rsid w:val="0068314B"/>
    <w:rsid w:val="00693A29"/>
    <w:rsid w:val="006E194F"/>
    <w:rsid w:val="006F29E5"/>
    <w:rsid w:val="00713AA4"/>
    <w:rsid w:val="00733DD4"/>
    <w:rsid w:val="00744F2F"/>
    <w:rsid w:val="007634F3"/>
    <w:rsid w:val="00764D1C"/>
    <w:rsid w:val="007975D7"/>
    <w:rsid w:val="007A4AF0"/>
    <w:rsid w:val="007D5931"/>
    <w:rsid w:val="007E7202"/>
    <w:rsid w:val="00847C57"/>
    <w:rsid w:val="00885CBE"/>
    <w:rsid w:val="00890314"/>
    <w:rsid w:val="0089061A"/>
    <w:rsid w:val="00892E2A"/>
    <w:rsid w:val="008C016D"/>
    <w:rsid w:val="008D36A1"/>
    <w:rsid w:val="008F0AFC"/>
    <w:rsid w:val="008F337E"/>
    <w:rsid w:val="008F5928"/>
    <w:rsid w:val="009204BF"/>
    <w:rsid w:val="009632F6"/>
    <w:rsid w:val="009635B3"/>
    <w:rsid w:val="009A45F2"/>
    <w:rsid w:val="009B1D34"/>
    <w:rsid w:val="009F46E8"/>
    <w:rsid w:val="00A200C0"/>
    <w:rsid w:val="00A4691C"/>
    <w:rsid w:val="00A51EC6"/>
    <w:rsid w:val="00A901B2"/>
    <w:rsid w:val="00A90EB6"/>
    <w:rsid w:val="00A964D0"/>
    <w:rsid w:val="00AF3EFD"/>
    <w:rsid w:val="00B146F9"/>
    <w:rsid w:val="00B47E95"/>
    <w:rsid w:val="00BA75A3"/>
    <w:rsid w:val="00BA7CAD"/>
    <w:rsid w:val="00BB1445"/>
    <w:rsid w:val="00BC2566"/>
    <w:rsid w:val="00BD24AF"/>
    <w:rsid w:val="00BE5CF5"/>
    <w:rsid w:val="00BE6CFD"/>
    <w:rsid w:val="00C45C68"/>
    <w:rsid w:val="00C46DD5"/>
    <w:rsid w:val="00C9262A"/>
    <w:rsid w:val="00CE0DDD"/>
    <w:rsid w:val="00CF7CE2"/>
    <w:rsid w:val="00D3534C"/>
    <w:rsid w:val="00D62493"/>
    <w:rsid w:val="00D841CE"/>
    <w:rsid w:val="00D85ADD"/>
    <w:rsid w:val="00D867AF"/>
    <w:rsid w:val="00D90074"/>
    <w:rsid w:val="00DA0F14"/>
    <w:rsid w:val="00DA20BF"/>
    <w:rsid w:val="00DC63E7"/>
    <w:rsid w:val="00DD0EDC"/>
    <w:rsid w:val="00DD3D6D"/>
    <w:rsid w:val="00DD5A5F"/>
    <w:rsid w:val="00DD7EAE"/>
    <w:rsid w:val="00DE42F7"/>
    <w:rsid w:val="00DF398B"/>
    <w:rsid w:val="00DF7D66"/>
    <w:rsid w:val="00E05E9E"/>
    <w:rsid w:val="00E15757"/>
    <w:rsid w:val="00E255DB"/>
    <w:rsid w:val="00E35830"/>
    <w:rsid w:val="00E414AD"/>
    <w:rsid w:val="00E47316"/>
    <w:rsid w:val="00E54D24"/>
    <w:rsid w:val="00E6150C"/>
    <w:rsid w:val="00E652A8"/>
    <w:rsid w:val="00E72698"/>
    <w:rsid w:val="00E776D0"/>
    <w:rsid w:val="00EB1A1F"/>
    <w:rsid w:val="00ED4B4D"/>
    <w:rsid w:val="00F243C8"/>
    <w:rsid w:val="00F33C53"/>
    <w:rsid w:val="00F663A5"/>
    <w:rsid w:val="00F85001"/>
    <w:rsid w:val="00F855AB"/>
    <w:rsid w:val="00FC30E7"/>
    <w:rsid w:val="00FC43F7"/>
    <w:rsid w:val="00FD5CCB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9FA039"/>
  <w15:docId w15:val="{96B0CACC-A372-4C90-9A1D-99A01D6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FC"/>
    <w:pPr>
      <w:spacing w:after="0" w:line="240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9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9FC"/>
    <w:rPr>
      <w:lang w:val="sl-SI"/>
    </w:rPr>
  </w:style>
  <w:style w:type="character" w:styleId="Hyperlink">
    <w:name w:val="Hyperlink"/>
    <w:basedOn w:val="DefaultParagraphFont"/>
    <w:uiPriority w:val="99"/>
    <w:unhideWhenUsed/>
    <w:rsid w:val="004F79F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F79F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79F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E2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60"/>
    <w:rPr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18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A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AA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A4"/>
    <w:rPr>
      <w:rFonts w:ascii="Segoe UI" w:hAnsi="Segoe UI" w:cs="Segoe UI"/>
      <w:sz w:val="18"/>
      <w:szCs w:val="18"/>
      <w:lang w:val="sl-SI"/>
    </w:rPr>
  </w:style>
  <w:style w:type="paragraph" w:styleId="ListParagraph">
    <w:name w:val="List Paragraph"/>
    <w:basedOn w:val="Normal"/>
    <w:uiPriority w:val="34"/>
    <w:qFormat/>
    <w:rsid w:val="006200BC"/>
    <w:pPr>
      <w:ind w:left="72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2627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i-provider">
    <w:name w:val="ui-provider"/>
    <w:basedOn w:val="DefaultParagraphFont"/>
    <w:rsid w:val="00DF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l.ecm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survey/runner/a2146f06-f3f0-52af-c047-af893ad19e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rss.si/evropski-dan-jezikov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DEFF.AF63F2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cid:image003.png@01D9B586.CF088EF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4803</Characters>
  <Application>Microsoft Office Word</Application>
  <DocSecurity>0</DocSecurity>
  <Lines>686</Lines>
  <Paragraphs>239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SKORJAK Matej (DGT-LJUBLJANA)</dc:creator>
  <cp:lastModifiedBy>SKORJAK Matej (DGT-LJUBLJANA)</cp:lastModifiedBy>
  <cp:revision>3</cp:revision>
  <cp:lastPrinted>2023-09-04T08:42:00Z</cp:lastPrinted>
  <dcterms:created xsi:type="dcterms:W3CDTF">2023-09-11T15:33:00Z</dcterms:created>
  <dcterms:modified xsi:type="dcterms:W3CDTF">2023-09-11T15:34:00Z</dcterms:modified>
</cp:coreProperties>
</file>